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Finances publiques et performance de l’État</w:t>
      </w:r>
    </w:p>
    <w:p>
      <w:pPr>
        <w:widowControl/>
        <w:jc w:val="left"/>
      </w:pPr>
      <w:r>
        <w:t>Panorama enrichi de RICAC et de MissionPro | EIA Executive Learning</w:t>
        <w:br/>
        <w:t>Budget-programme • GAR • Contrôle de gestion • Risques • Audit • Évaluation</w:t>
        <w:br/>
        <w:t>Version du 18 octobre 2026</w:t>
      </w:r>
    </w:p>
    <w:p>
      <w:r>
        <w:t>Bonjour,</w:t>
      </w:r>
    </w:p>
    <w:p>
      <w:pPr>
        <w:widowControl/>
        <w:jc w:val="both"/>
      </w:pPr>
      <w:r>
        <w:t>Je vous partage un panorama de ressources et de perspectives de formation pour relier la gestion des finances publiques aux résultats. Il s’adresse aux décideurs, responsables de programme, cadres financiers, contrôleurs de gestion, auditeurs, inspecteurs, évaluateurs et professionnels de la gouvernance.</w:t>
      </w:r>
    </w:p>
    <w:p>
      <w:pPr>
        <w:widowControl/>
        <w:jc w:val="both"/>
      </w:pPr>
      <w:r>
        <w:t>L’audit interne et le contrôle interne prennent tout leur sens dans cette chaîne : définir les objectifs, programmer les moyens, exécuter les activités, maîtriser les risques, produire des preuves, apprécier les résultats et améliorer les capacités d’action.</w:t>
      </w:r>
    </w:p>
    <w:p>
      <w:pPr>
        <w:pStyle w:val="Heading1"/>
      </w:pPr>
      <w:r>
        <w:t>Deux plateformes complémentaires</w:t>
      </w:r>
    </w:p>
    <w:p>
      <w:pPr>
        <w:pStyle w:val="Heading2"/>
      </w:pPr>
      <w:r>
        <w:t>RICAC pour structurer la pratique professionnelle</w:t>
      </w:r>
    </w:p>
    <w:p>
      <w:pPr>
        <w:widowControl/>
        <w:jc w:val="both"/>
      </w:pPr>
      <w:r>
        <w:t>RICAC réunit des ressources doctrinales et méthodologiques sur l’audit, le contrôle, les risques et les capacités institutionnelles. Les contenus repérés comprennent notamment les fondamentaux de l’audit interne, la planification par les risques, les constats, les rapports et le contrôle interne.</w:t>
      </w:r>
    </w:p>
    <w:p>
      <w:pPr>
        <w:pStyle w:val="Heading2"/>
      </w:pPr>
      <w:r>
        <w:t>EIA pour apprendre et démontrer ses compétences</w:t>
      </w:r>
    </w:p>
    <w:p>
      <w:pPr>
        <w:widowControl/>
        <w:jc w:val="both"/>
      </w:pPr>
      <w:r>
        <w:t>MissionPro | EIA Executive Learning articule connaissances, exercices et productions professionnelles. Le parcours repéré « Contrôle interne, risques, assurance et auditabilité » relie diagnostic, cartographie, conception des contrôles, tests, preuves et amélioration.</w:t>
      </w:r>
    </w:p>
    <w:p>
      <w:pPr>
        <w:pStyle w:val="Heading1"/>
      </w:pPr>
      <w:r>
        <w:t>Comment lire ce panorama</w:t>
      </w:r>
    </w:p>
    <w:p>
      <w:pPr>
        <w:widowControl/>
        <w:jc w:val="both"/>
      </w:pPr>
      <w:r>
        <w:t>Les ressources repérées dans les sources des plateformes sont présentées avec leurs liens en page 3. Le périmètre élargi en page 2 constitue une proposition d’articulation et de développement : il ne signifie pas que tous les modules sont déjà disponibles.</w:t>
      </w:r>
    </w:p>
    <w:p>
      <w:pPr>
        <w:widowControl/>
        <w:jc w:val="both"/>
      </w:pPr>
      <w:r>
        <w:t>Le rapprochement avec le dispositif UEMOA devra être documenté texte par texte, en tenant compte de la transposition nationale. Ce panorama ne constitue ni un relevé exhaustif des obligations juridiques ni une attestation de conformité.</w:t>
      </w:r>
    </w:p>
    <w:p>
      <w:r>
        <w:br w:type="page"/>
      </w:r>
    </w:p>
    <w:p>
      <w:pPr>
        <w:pStyle w:val="Heading1"/>
      </w:pPr>
      <w:r>
        <w:t>Un périmètre intégré de la stratégie aux résultats</w:t>
      </w:r>
    </w:p>
    <w:p>
      <w:pPr>
        <w:widowControl/>
        <w:jc w:val="both"/>
      </w:pPr>
      <w:r>
        <w:rPr>
          <w:b/>
        </w:rPr>
        <w:t xml:space="preserve">Planification et programmation — </w:t>
      </w:r>
      <w:r>
        <w:t>Traduire les orientations publiques en objectifs, programmes et priorités ; relier les choix à une programmation pluriannuelle et aux ressources disponibles.</w:t>
      </w:r>
    </w:p>
    <w:p>
      <w:pPr>
        <w:widowControl/>
        <w:jc w:val="both"/>
      </w:pPr>
      <w:r>
        <w:rPr>
          <w:b/>
        </w:rPr>
        <w:t xml:space="preserve">Budget-programme et gestion axée sur les résultats — </w:t>
      </w:r>
      <w:r>
        <w:t>Articuler crédits, activités, produits, effets et impacts. Examiner les objectifs et indicateurs de performance ainsi que les projets et rapports de performance, selon le cadre applicable.</w:t>
      </w:r>
    </w:p>
    <w:p>
      <w:pPr>
        <w:widowControl/>
        <w:jc w:val="both"/>
      </w:pPr>
      <w:r>
        <w:rPr>
          <w:b/>
        </w:rPr>
        <w:t xml:space="preserve">Contrôle de gestion et dialogue de gestion — </w:t>
      </w:r>
      <w:r>
        <w:t>Suivre les coûts, délais, réalisations et qualité ; analyser les écarts ; organiser les engagements des responsables et les revues conduisant aux mesures correctrices.</w:t>
      </w:r>
    </w:p>
    <w:p>
      <w:pPr>
        <w:widowControl/>
        <w:jc w:val="both"/>
      </w:pPr>
      <w:r>
        <w:rPr>
          <w:b/>
        </w:rPr>
        <w:t xml:space="preserve">Comptabilité et connaissance des coûts — </w:t>
      </w:r>
      <w:r>
        <w:t>Rapprocher les informations budgétaires, comptables et patrimoniales. Apprécier le coût des activités et des services pour éclairer les arbitrages.</w:t>
      </w:r>
    </w:p>
    <w:p>
      <w:pPr>
        <w:widowControl/>
        <w:jc w:val="both"/>
      </w:pPr>
      <w:r>
        <w:rPr>
          <w:b/>
        </w:rPr>
        <w:t xml:space="preserve">Commande publique et patrimoine — </w:t>
      </w:r>
      <w:r>
        <w:t>Relier les besoins, les achats, la réception, l’utilisation, la maintenance et la fin de vie des biens à leur contribution effective aux résultats.</w:t>
      </w:r>
    </w:p>
    <w:p>
      <w:pPr>
        <w:widowControl/>
        <w:jc w:val="both"/>
      </w:pPr>
      <w:r>
        <w:rPr>
          <w:b/>
        </w:rPr>
        <w:t xml:space="preserve">Risques et contrôle interne — </w:t>
      </w:r>
      <w:r>
        <w:t>Identifier les menaces pesant sur les objectifs ; attribuer les responsabilités ; concevoir, documenter et tester les dispositifs de maîtrise.</w:t>
      </w:r>
    </w:p>
    <w:p>
      <w:pPr>
        <w:widowControl/>
        <w:jc w:val="both"/>
      </w:pPr>
      <w:r>
        <w:rPr>
          <w:b/>
        </w:rPr>
        <w:t xml:space="preserve">Audit et assurance — </w:t>
      </w:r>
      <w:r>
        <w:t>Évaluer les dispositifs de gouvernance, de risques et de contrôle ; examiner l’économie, l’efficience et l’efficacité ; formuler et suivre des recommandations fondées sur des preuves.</w:t>
      </w:r>
    </w:p>
    <w:p>
      <w:pPr>
        <w:widowControl/>
        <w:jc w:val="both"/>
      </w:pPr>
      <w:r>
        <w:rPr>
          <w:b/>
        </w:rPr>
        <w:t xml:space="preserve">Suivi et évaluation des politiques publiques — </w:t>
      </w:r>
      <w:r>
        <w:t>Suivre les réalisations et apprécier les effets des interventions, leur pertinence et les raisons des écarts ; éclairer les décisions de poursuite, d’adaptation ou d’arrêt.</w:t>
      </w:r>
    </w:p>
    <w:p>
      <w:pPr>
        <w:widowControl/>
        <w:jc w:val="both"/>
      </w:pPr>
      <w:r>
        <w:rPr>
          <w:b/>
        </w:rPr>
        <w:t xml:space="preserve">Transparence et reddition des comptes — </w:t>
      </w:r>
      <w:r>
        <w:t>Rendre compte des moyens utilisés, des résultats obtenus et des corrections engagées. Relier les rapports aux informations vérifiables qui les fondent.</w:t>
      </w:r>
    </w:p>
    <w:p>
      <w:pPr>
        <w:widowControl/>
        <w:jc w:val="both"/>
      </w:pPr>
      <w:r>
        <w:rPr>
          <w:b/>
        </w:rPr>
        <w:t xml:space="preserve">Données et capacités institutionnelles — </w:t>
      </w:r>
      <w:r>
        <w:t>Renforcer la qualité des données, les systèmes d’information, les compétences, la coordination et la conduite du changement nécessaires à l’exécution.</w:t>
      </w:r>
    </w:p>
    <w:p>
      <w:pPr>
        <w:widowControl/>
        <w:jc w:val="both"/>
      </w:pPr>
      <w:r>
        <w:t>Deux exigences traversent ce périmètre : l’auditabilité, qui rend la gestion et les résultats vérifiables, et la valeur publique, qui invite à apprécier l’utilité, la qualité et l’accessibilité des services pour les populations.</w:t>
      </w:r>
    </w:p>
    <w:p>
      <w:r>
        <w:br w:type="page"/>
      </w:r>
    </w:p>
    <w:p>
      <w:pPr>
        <w:pStyle w:val="Heading1"/>
      </w:pPr>
      <w:r>
        <w:t>Ressources et points d’entrée</w:t>
      </w:r>
    </w:p>
    <w:p>
      <w:pPr>
        <w:pStyle w:val="Heading2"/>
      </w:pPr>
      <w:r>
        <w:t>RICAC</w:t>
      </w:r>
    </w:p>
    <w:p>
      <w:pPr>
        <w:widowControl/>
        <w:jc w:val="both"/>
      </w:pPr>
      <w:r>
        <w:t>Les ressources suivantes ont été repérées dans les sources de la plateforme. Elles permettent de commencer par les fondements, puis de travailler le raisonnement professionnel.</w:t>
      </w:r>
    </w:p>
    <w:p>
      <w:hyperlink r:id="rId9">
        <w:r>
          <w:rPr>
            <w:color w:val="0563C1"/>
            <w:u w:val="single"/>
          </w:rPr>
          <w:t>Les fondamentaux de l’audit interne</w:t>
        </w:r>
      </w:hyperlink>
    </w:p>
    <w:p>
      <w:hyperlink r:id="rId10">
        <w:r>
          <w:rPr>
            <w:color w:val="0563C1"/>
            <w:u w:val="single"/>
          </w:rPr>
          <w:t>Planifier ses missions d’audit par les risques</w:t>
        </w:r>
      </w:hyperlink>
    </w:p>
    <w:p>
      <w:hyperlink r:id="rId11">
        <w:r>
          <w:rPr>
            <w:color w:val="0563C1"/>
            <w:u w:val="single"/>
          </w:rPr>
          <w:t>Les cinq composantes du contrôle interne selon COSO</w:t>
        </w:r>
      </w:hyperlink>
    </w:p>
    <w:p>
      <w:hyperlink r:id="rId12">
        <w:r>
          <w:rPr>
            <w:color w:val="0563C1"/>
            <w:u w:val="single"/>
          </w:rPr>
          <w:t>Repenser l’univers d’audit</w:t>
        </w:r>
      </w:hyperlink>
    </w:p>
    <w:p>
      <w:pPr>
        <w:pStyle w:val="Heading2"/>
      </w:pPr>
      <w:r>
        <w:t>EIA Executive Learning</w:t>
      </w:r>
    </w:p>
    <w:p>
      <w:pPr>
        <w:widowControl/>
        <w:jc w:val="both"/>
      </w:pPr>
      <w:r>
        <w:t>Le parcours « Contrôle interne, risques, assurance et auditabilité » est structuré en douze modules. Sa progression : comprendre, diagnostiquer, cartographier, concevoir, tester, prouver, corriger et assurer.</w:t>
      </w:r>
    </w:p>
    <w:p>
      <w:pPr>
        <w:widowControl/>
        <w:jc w:val="both"/>
      </w:pPr>
      <w:r>
        <w:t>Il couvre notamment COSO, la gouvernance, la conception et l’évaluation des contrôles, les preuves, la fraude, le secteur public, les données et l’IA, puis l’articulation avec l’audit et un projet final. Un cadre pédagogique, un toolkit d’exercices et des activités autour du cas fictif Agence publique Alpha ont été repérés. Certains compléments restent à développer.</w:t>
      </w:r>
    </w:p>
    <w:p>
      <w:hyperlink r:id="rId13">
        <w:r>
          <w:rPr>
            <w:color w:val="0563C1"/>
            <w:u w:val="single"/>
          </w:rPr>
          <w:t>Découvrir la thématique Contrôle interne risques et assurance</w:t>
        </w:r>
      </w:hyperlink>
    </w:p>
    <w:p>
      <w:hyperlink r:id="rId14">
        <w:r>
          <w:rPr>
            <w:color w:val="0563C1"/>
            <w:u w:val="single"/>
          </w:rPr>
          <w:t>Programme Contrôle interne contrôle de gestion risques et assurance de la performance</w:t>
        </w:r>
      </w:hyperlink>
    </w:p>
    <w:p>
      <w:pPr>
        <w:widowControl/>
        <w:jc w:val="both"/>
      </w:pPr>
      <w:r>
        <w:t>Les ressources réservées sont accessibles selon les autorisations du parcours. Les dates, modalités, tarifs et conditions d’évaluation doivent être confirmés auprès d’EIA. Le périmètre élargi budget-programme et GAR nécessite un rapprochement détaillé avec les contenus déjà disponibles.</w:t>
      </w:r>
    </w:p>
    <w:p>
      <w:pPr>
        <w:widowControl/>
        <w:jc w:val="both"/>
      </w:pPr>
      <w:r>
        <w:t>Selon votre besoin — initiation, perfectionnement ou accompagnement d’une organisation — nous pourrons préciser les ressources et le parcours les plus pertinents.</w:t>
      </w:r>
    </w:p>
    <w:p>
      <w:pPr>
        <w:widowControl/>
        <w:jc w:val="left"/>
      </w:pPr>
      <w:r>
        <w:t>Dr Abdou Karim Gueye</w:t>
        <w:br/>
        <w:t>DBA • MBA • Master in Laws — ENA — MissionPro</w:t>
        <w:br/>
        <w:t>MissionPro | EIA Executive Learning</w:t>
      </w:r>
    </w:p>
    <w:p>
      <w:hyperlink r:id="rId15">
        <w:r>
          <w:rPr>
            <w:color w:val="0563C1"/>
            <w:u w:val="single"/>
          </w:rPr>
          <w:t>contact@eiaexecutive.com</w:t>
        </w:r>
      </w:hyperlink>
    </w:p>
    <w:p>
      <w:pPr>
        <w:widowControl/>
        <w:jc w:val="both"/>
      </w:pPr>
      <w:r>
        <w:rPr>
          <w:i/>
          <w:sz w:val="18"/>
        </w:rPr>
        <w:t>Liens cliquables intégrés. La disponibilité en ligne de chaque destination n’a pas pu être confirmée lors de la vérification initiale.</w:t>
      </w:r>
    </w:p>
    <w:p>
      <w:r>
        <w:br w:type="page"/>
      </w:r>
    </w:p>
    <w:p>
      <w:pPr>
        <w:pStyle w:val="Heading1"/>
      </w:pPr>
      <w:r>
        <w:t>Retrouver les programmes et ressources</w:t>
      </w:r>
    </w:p>
    <w:p>
      <w:pPr>
        <w:widowControl/>
        <w:jc w:val="both"/>
      </w:pPr>
      <w:r>
        <w:t>Scannez ces QR codes avec votre téléphone pour accéder aux ressources. Les liens cliquables des pages précédentes restent utilisables depuis ce document.</w:t>
      </w:r>
    </w:p>
    <w:p>
      <w:pPr>
        <w:pStyle w:val="Heading2"/>
      </w:pPr>
      <w:r>
        <w:t>La page commune des programmes</w:t>
      </w:r>
    </w:p>
    <w:p>
      <w:r>
        <w:drawing>
          <wp:inline xmlns:a="http://schemas.openxmlformats.org/drawingml/2006/main" xmlns:pic="http://schemas.openxmlformats.org/drawingml/2006/picture">
            <wp:extent cx="1051560" cy="1051560"/>
            <wp:docPr id="1" name="Picture 1"/>
            <wp:cNvGraphicFramePr>
              <a:graphicFrameLocks noChangeAspect="1"/>
            </wp:cNvGraphicFramePr>
            <a:graphic>
              <a:graphicData uri="http://schemas.openxmlformats.org/drawingml/2006/picture">
                <pic:pic>
                  <pic:nvPicPr>
                    <pic:cNvPr id="0" name="qr-hub.png"/>
                    <pic:cNvPicPr/>
                  </pic:nvPicPr>
                  <pic:blipFill>
                    <a:blip r:embed="rId17"/>
                    <a:stretch>
                      <a:fillRect/>
                    </a:stretch>
                  </pic:blipFill>
                  <pic:spPr>
                    <a:xfrm>
                      <a:off x="0" y="0"/>
                      <a:ext cx="1051560" cy="1051560"/>
                    </a:xfrm>
                    <a:prstGeom prst="rect"/>
                  </pic:spPr>
                </pic:pic>
              </a:graphicData>
            </a:graphic>
          </wp:inline>
        </w:drawing>
      </w:r>
    </w:p>
    <w:p>
      <w:pPr>
        <w:spacing w:after="160"/>
      </w:pPr>
      <w:r>
        <w:t>https://ricac.global/programmes</w:t>
      </w:r>
    </w:p>
    <w:p>
      <w:pPr>
        <w:pStyle w:val="Heading2"/>
      </w:pPr>
      <w:r>
        <w:t>L’Académie RICAC</w:t>
      </w:r>
    </w:p>
    <w:p>
      <w:r>
        <w:drawing>
          <wp:inline xmlns:a="http://schemas.openxmlformats.org/drawingml/2006/main" xmlns:pic="http://schemas.openxmlformats.org/drawingml/2006/picture">
            <wp:extent cx="1051560" cy="1051560"/>
            <wp:docPr id="2" name="Picture 2"/>
            <wp:cNvGraphicFramePr>
              <a:graphicFrameLocks noChangeAspect="1"/>
            </wp:cNvGraphicFramePr>
            <a:graphic>
              <a:graphicData uri="http://schemas.openxmlformats.org/drawingml/2006/picture">
                <pic:pic>
                  <pic:nvPicPr>
                    <pic:cNvPr id="0" name="qr-ricac.png"/>
                    <pic:cNvPicPr/>
                  </pic:nvPicPr>
                  <pic:blipFill>
                    <a:blip r:embed="rId18"/>
                    <a:stretch>
                      <a:fillRect/>
                    </a:stretch>
                  </pic:blipFill>
                  <pic:spPr>
                    <a:xfrm>
                      <a:off x="0" y="0"/>
                      <a:ext cx="1051560" cy="1051560"/>
                    </a:xfrm>
                    <a:prstGeom prst="rect"/>
                  </pic:spPr>
                </pic:pic>
              </a:graphicData>
            </a:graphic>
          </wp:inline>
        </w:drawing>
      </w:r>
    </w:p>
    <w:p>
      <w:pPr>
        <w:spacing w:after="160"/>
      </w:pPr>
      <w:r>
        <w:t>https://ricac.global/academie</w:t>
      </w:r>
    </w:p>
    <w:p>
      <w:pPr>
        <w:pStyle w:val="Heading2"/>
      </w:pPr>
      <w:r>
        <w:t>Contrôle interne risques et assurance sur EIA</w:t>
      </w:r>
    </w:p>
    <w:p>
      <w:r>
        <w:drawing>
          <wp:inline xmlns:a="http://schemas.openxmlformats.org/drawingml/2006/main" xmlns:pic="http://schemas.openxmlformats.org/drawingml/2006/picture">
            <wp:extent cx="1051560" cy="1051560"/>
            <wp:docPr id="3" name="Picture 3"/>
            <wp:cNvGraphicFramePr>
              <a:graphicFrameLocks noChangeAspect="1"/>
            </wp:cNvGraphicFramePr>
            <a:graphic>
              <a:graphicData uri="http://schemas.openxmlformats.org/drawingml/2006/picture">
                <pic:pic>
                  <pic:nvPicPr>
                    <pic:cNvPr id="0" name="qr-eia.png"/>
                    <pic:cNvPicPr/>
                  </pic:nvPicPr>
                  <pic:blipFill>
                    <a:blip r:embed="rId19"/>
                    <a:stretch>
                      <a:fillRect/>
                    </a:stretch>
                  </pic:blipFill>
                  <pic:spPr>
                    <a:xfrm>
                      <a:off x="0" y="0"/>
                      <a:ext cx="1051560" cy="1051560"/>
                    </a:xfrm>
                    <a:prstGeom prst="rect"/>
                  </pic:spPr>
                </pic:pic>
              </a:graphicData>
            </a:graphic>
          </wp:inline>
        </w:drawing>
      </w:r>
    </w:p>
    <w:p>
      <w:pPr>
        <w:spacing w:after="160"/>
      </w:pPr>
      <w:r>
        <w:t>https://eiaexecutive.com/thematique-controle-interne.html</w:t>
      </w:r>
    </w:p>
    <w:sectPr w:rsidR="00FC693F" w:rsidRPr="0006063C" w:rsidSect="00034616">
      <w:headerReference w:type="default" r:id="rId16"/>
      <w:pgSz w:w="12240" w:h="15840"/>
      <w:pgMar w:top="936" w:right="1800" w:bottom="936"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92608" cy="292608"/>
          <wp:docPr id="1" name="Picture 1"/>
          <wp:cNvGraphicFramePr>
            <a:graphicFrameLocks noChangeAspect="1"/>
          </wp:cNvGraphicFramePr>
          <a:graphic>
            <a:graphicData uri="http://schemas.openxmlformats.org/drawingml/2006/picture">
              <pic:pic>
                <pic:nvPicPr>
                  <pic:cNvPr id="0" name="logo-missionpro.png"/>
                  <pic:cNvPicPr/>
                </pic:nvPicPr>
                <pic:blipFill>
                  <a:blip r:embed="rId1"/>
                  <a:stretch>
                    <a:fillRect/>
                  </a:stretch>
                </pic:blipFill>
                <pic:spPr>
                  <a:xfrm>
                    <a:off x="0" y="0"/>
                    <a:ext cx="292608" cy="292608"/>
                  </a:xfrm>
                  <a:prstGeom prst="rect"/>
                </pic:spPr>
              </pic:pic>
            </a:graphicData>
          </a:graphic>
        </wp:inline>
      </w:drawing>
    </w:r>
    <w:r>
      <w:rPr>
        <w:sz w:val="18"/>
      </w:rPr>
      <w:t xml:space="preserve">   MissionPro  |  RICAC × EIA Executive Learning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ricac.global/academie/parcours/fondamentaux-audit-interne" TargetMode="External"/><Relationship Id="rId10" Type="http://schemas.openxmlformats.org/officeDocument/2006/relationships/hyperlink" Target="https://ricac.global/blog/planification-audit-basee-sur-les-risques" TargetMode="External"/><Relationship Id="rId11" Type="http://schemas.openxmlformats.org/officeDocument/2006/relationships/hyperlink" Target="https://ricac.global/blog/coso-2013-cinq-composantes" TargetMode="External"/><Relationship Id="rId12" Type="http://schemas.openxmlformats.org/officeDocument/2006/relationships/hyperlink" Target="https://ricac.global/blog/repenser-univers-audit" TargetMode="External"/><Relationship Id="rId13" Type="http://schemas.openxmlformats.org/officeDocument/2006/relationships/hyperlink" Target="https://eiaexecutive.com/thematique-controle-interne.html" TargetMode="External"/><Relationship Id="rId14" Type="http://schemas.openxmlformats.org/officeDocument/2006/relationships/hyperlink" Target="https://eiaexecutive.com/programme-v3-EIA-01.html" TargetMode="External"/><Relationship Id="rId15" Type="http://schemas.openxmlformats.org/officeDocument/2006/relationships/hyperlink" Target="mailto:contact@eiaexecutive.com" TargetMode="External"/><Relationship Id="rId16" Type="http://schemas.openxmlformats.org/officeDocument/2006/relationships/header" Target="header1.xml"/><Relationship Id="rId17" Type="http://schemas.openxmlformats.org/officeDocument/2006/relationships/image" Target="media/image2.png"/><Relationship Id="rId18" Type="http://schemas.openxmlformats.org/officeDocument/2006/relationships/image" Target="media/image3.png"/><Relationship Id="rId19"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